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70" w:rsidRDefault="00793470" w:rsidP="00793470">
      <w:pPr>
        <w:rPr>
          <w:b/>
          <w:u w:val="single"/>
        </w:rPr>
      </w:pPr>
      <w:r w:rsidRPr="00793470">
        <w:rPr>
          <w:b/>
          <w:u w:val="single"/>
        </w:rPr>
        <w:drawing>
          <wp:inline distT="0" distB="0" distL="0" distR="0">
            <wp:extent cx="1097278" cy="685800"/>
            <wp:effectExtent l="0" t="0" r="825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177" cy="690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 xml:space="preserve"> </w:t>
      </w:r>
      <w:r w:rsidRPr="00793470">
        <w:rPr>
          <w:b/>
          <w:u w:val="single"/>
        </w:rPr>
        <w:drawing>
          <wp:inline distT="0" distB="0" distL="0" distR="0">
            <wp:extent cx="2030879" cy="685170"/>
            <wp:effectExtent l="0" t="0" r="7620" b="635"/>
            <wp:docPr id="1026" name="Slika 2" descr="C:\Users\Pripravnik\Downloads\LOGOS\Vizualni identitet - Europski strukturni i investicijski fondovi\ESI logotip_boja_ve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Slika 2" descr="C:\Users\Pripravnik\Downloads\LOGOS\Vizualni identitet - Europski strukturni i investicijski fondovi\ESI logotip_boja_vec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187" cy="6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793470">
        <w:rPr>
          <w:b/>
          <w:u w:val="single"/>
        </w:rPr>
        <w:drawing>
          <wp:inline distT="0" distB="0" distL="0" distR="0">
            <wp:extent cx="1781175" cy="483630"/>
            <wp:effectExtent l="0" t="0" r="0" b="0"/>
            <wp:docPr id="1027" name="Picture 3" descr="OPKK_boja_bez pozadine_man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OPKK_boja_bez pozadine_manj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770" cy="48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93470" w:rsidRPr="00450178" w:rsidRDefault="00793470" w:rsidP="00793470">
      <w:pPr>
        <w:jc w:val="both"/>
        <w:rPr>
          <w:i/>
          <w:sz w:val="24"/>
          <w:szCs w:val="24"/>
        </w:rPr>
      </w:pPr>
      <w:r w:rsidRPr="00793470">
        <w:rPr>
          <w:b/>
          <w:u w:val="single"/>
        </w:rPr>
        <w:drawing>
          <wp:inline distT="0" distB="0" distL="0" distR="0">
            <wp:extent cx="1238250" cy="825499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063" cy="826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u w:val="single"/>
        </w:rPr>
        <w:t xml:space="preserve"> </w:t>
      </w:r>
      <w:r w:rsidRPr="00450178">
        <w:rPr>
          <w:i/>
          <w:sz w:val="24"/>
          <w:szCs w:val="24"/>
        </w:rPr>
        <w:t xml:space="preserve">Projekt je sufinancirala Europska unija iz Europskog fonda za regionalni </w:t>
      </w:r>
      <w:r>
        <w:rPr>
          <w:i/>
          <w:sz w:val="24"/>
          <w:szCs w:val="24"/>
        </w:rPr>
        <w:t xml:space="preserve">      </w:t>
      </w:r>
      <w:r w:rsidRPr="00450178">
        <w:rPr>
          <w:i/>
          <w:sz w:val="24"/>
          <w:szCs w:val="24"/>
        </w:rPr>
        <w:t>razvoj, Operativni program „Konkurentnost i kohezija“ 2014.-2020.</w:t>
      </w:r>
    </w:p>
    <w:p w:rsidR="00793470" w:rsidRDefault="00793470" w:rsidP="00793470">
      <w:pPr>
        <w:rPr>
          <w:b/>
          <w:u w:val="single"/>
        </w:rPr>
      </w:pPr>
    </w:p>
    <w:p w:rsidR="00793470" w:rsidRDefault="00793470" w:rsidP="0053709A">
      <w:pPr>
        <w:jc w:val="center"/>
        <w:rPr>
          <w:b/>
          <w:u w:val="single"/>
        </w:rPr>
      </w:pPr>
    </w:p>
    <w:p w:rsidR="005175F9" w:rsidRDefault="0053709A" w:rsidP="0053709A">
      <w:pPr>
        <w:jc w:val="center"/>
        <w:rPr>
          <w:b/>
          <w:u w:val="single"/>
        </w:rPr>
      </w:pPr>
      <w:r w:rsidRPr="0053709A">
        <w:rPr>
          <w:b/>
          <w:u w:val="single"/>
        </w:rPr>
        <w:t>ODRŽANA POČETNA KONFERENCIJA PROJEKTA ENERGETSKA OBNOVA ZGRADE PODRUČNE ŠKOLE RAJSAVAC NA ADRESI RAJSAVAC 42, JAKŠIĆ, OSNOVNE ŠKOLE „MLADOST“ JAKŠIĆ</w:t>
      </w:r>
    </w:p>
    <w:p w:rsidR="0053709A" w:rsidRDefault="0053709A" w:rsidP="0053709A">
      <w:pPr>
        <w:jc w:val="center"/>
        <w:rPr>
          <w:b/>
          <w:u w:val="single"/>
        </w:rPr>
      </w:pPr>
    </w:p>
    <w:p w:rsidR="0053709A" w:rsidRDefault="0053709A" w:rsidP="0053709A">
      <w:pPr>
        <w:jc w:val="both"/>
      </w:pPr>
      <w:r>
        <w:t xml:space="preserve">Osnovna škola „Mladost“ Jakšić je nakon uspješne provedbe projekata energetske obnove na tri područne škole uz pomoć Regionalne razvojne agencije Požeško-slavonske županije – PANORA d.o.o. uspješno prijavila projekte energetske obnove za Područne škole </w:t>
      </w:r>
      <w:proofErr w:type="spellStart"/>
      <w:r>
        <w:t>Rajsavac</w:t>
      </w:r>
      <w:proofErr w:type="spellEnd"/>
      <w:r>
        <w:t xml:space="preserve"> i </w:t>
      </w:r>
      <w:proofErr w:type="spellStart"/>
      <w:r>
        <w:t>Trapari</w:t>
      </w:r>
      <w:proofErr w:type="spellEnd"/>
      <w:r w:rsidR="00BE389B">
        <w:t xml:space="preserve"> na Javni poziv „Energetska obnova zgrada i korištenje obnovljivih izvora energije u javnim ustanovama koje obavljaju djelatnost odgoja i obrazovanja“ referentne oznake 4c1.3</w:t>
      </w:r>
      <w:bookmarkStart w:id="0" w:name="_GoBack"/>
      <w:bookmarkEnd w:id="0"/>
      <w:r>
        <w:t xml:space="preserve">. Danas je održana početna konferencija za projekt Energetska obnova zgrade Područne škole </w:t>
      </w:r>
      <w:proofErr w:type="spellStart"/>
      <w:r>
        <w:t>Rajsavac</w:t>
      </w:r>
      <w:proofErr w:type="spellEnd"/>
      <w:r>
        <w:t xml:space="preserve"> čime započinje realizacija samoga projekta. Ukupna vrijednost projekta iznosi do 465.192,39 kn, od čeka Europski fond za regionalni razvoj financira do 260.326,37 kn, dok ostatak preuzima Požeško-slavonska županija kao osnivač Škole. Škola se uz pomoć </w:t>
      </w:r>
      <w:proofErr w:type="spellStart"/>
      <w:r>
        <w:t>Panore</w:t>
      </w:r>
      <w:proofErr w:type="spellEnd"/>
      <w:r>
        <w:t xml:space="preserve"> prijavila i na Fond za sufinanciranje provedbe EU projekata koji je raspisalo Ministarstvo regionalnoga razvoja i fondova EU, od kojeg se očekuje sufinanciranje u iznosu </w:t>
      </w:r>
      <w:r w:rsidR="00BE389B">
        <w:t>do</w:t>
      </w:r>
      <w:r>
        <w:t xml:space="preserve"> 115.561,39 kn.</w:t>
      </w:r>
    </w:p>
    <w:p w:rsidR="00BE389B" w:rsidRDefault="0053709A" w:rsidP="0053709A">
      <w:pPr>
        <w:jc w:val="both"/>
      </w:pPr>
      <w:r>
        <w:t>Energetskom obnovom zgrade financirane su aktivnosti izrade glavnog projekta energetske obnove, povećanje toplinske zaštite vanjskoga zida, povećanje toplinske zaštite poda prema tlu i negrijanom prostoru, povećanje toplinske zaštite stropa prema negrijanom prostoru, zamjena vanjske stolarije,  izrada nagibne rampe za pristup osobama s invaliditetom i smanjene pokretljivošću,</w:t>
      </w:r>
      <w:r w:rsidR="00BE389B">
        <w:t xml:space="preserve"> stručni nadzor građenja, energetski pregled zgrade, izrada izvješća o energetskom pregledu zgrade i izrada energetskog certifikata nakon provedene energetske obnove, promidžba i vidljivost projekta, upravljanje projektom i administracija te aktivnosti stručne podrške Partnera. Partner na ovome projektu je Fond za zaštitu okoliša i energetsku učinkovitost.</w:t>
      </w:r>
    </w:p>
    <w:p w:rsidR="00BE389B" w:rsidRDefault="00BE389B" w:rsidP="0053709A">
      <w:pPr>
        <w:jc w:val="both"/>
      </w:pPr>
      <w:r>
        <w:t>Energetska obnova će rezultirati uštedom toplinske energije za grijanje u iznosu od 61,50% u odnosu na stanje prije energetske obnove, a zgrada će iz energetskog razreda E prijeći u energetski razred C.</w:t>
      </w:r>
    </w:p>
    <w:p w:rsidR="00BE389B" w:rsidRPr="0053709A" w:rsidRDefault="00BE389B" w:rsidP="0053709A">
      <w:pPr>
        <w:jc w:val="both"/>
      </w:pPr>
      <w:r>
        <w:t>Završetak projekta se očekuje do rujna 2018. godine.</w:t>
      </w:r>
    </w:p>
    <w:sectPr w:rsidR="00BE389B" w:rsidRPr="0053709A" w:rsidSect="00963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709A"/>
    <w:rsid w:val="00337883"/>
    <w:rsid w:val="005175F9"/>
    <w:rsid w:val="0053709A"/>
    <w:rsid w:val="00793470"/>
    <w:rsid w:val="009638E9"/>
    <w:rsid w:val="00BE3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8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9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3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24C2D-221F-461D-9563-FE3ACD2EC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knjiznica</cp:lastModifiedBy>
  <cp:revision>2</cp:revision>
  <dcterms:created xsi:type="dcterms:W3CDTF">2017-12-05T09:10:00Z</dcterms:created>
  <dcterms:modified xsi:type="dcterms:W3CDTF">2017-12-05T09:10:00Z</dcterms:modified>
</cp:coreProperties>
</file>