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7E" w:rsidRDefault="00034AED" w:rsidP="00034AED">
      <w:pPr>
        <w:spacing w:after="0" w:line="259" w:lineRule="auto"/>
        <w:ind w:left="0" w:firstLine="0"/>
        <w:jc w:val="left"/>
      </w:pPr>
      <w:r>
        <w:t>Na temelju čl. 82. Pravilnika o proračunskom računovodstvu i računskom planu (NN 124/14, 115/15, 87/16 i 3/18) i članka</w:t>
      </w:r>
      <w:r w:rsidR="00DD64F0">
        <w:t xml:space="preserve"> 58</w:t>
      </w:r>
      <w:r>
        <w:t xml:space="preserve">. Statuta Osnovne škole Mladost Jakšić, </w:t>
      </w:r>
      <w:r w:rsidR="00F3328B">
        <w:t>Školski odbor</w:t>
      </w:r>
      <w:r>
        <w:t xml:space="preserve"> na svojoj </w:t>
      </w:r>
      <w:r w:rsidR="00DD64F0">
        <w:t>30</w:t>
      </w:r>
      <w:r>
        <w:t xml:space="preserve">. sjednici održanoj </w:t>
      </w:r>
      <w:r w:rsidR="00DD64F0">
        <w:t>27. veljače</w:t>
      </w:r>
      <w:r>
        <w:t xml:space="preserve"> 2020. godine doni</w:t>
      </w:r>
      <w:r w:rsidR="00F3328B">
        <w:t>o</w:t>
      </w:r>
      <w:r>
        <w:t xml:space="preserve"> je</w:t>
      </w:r>
    </w:p>
    <w:p w:rsidR="00034AED" w:rsidRDefault="00034AED" w:rsidP="00034AED">
      <w:pPr>
        <w:spacing w:after="0" w:line="259" w:lineRule="auto"/>
        <w:ind w:left="0" w:firstLine="0"/>
        <w:jc w:val="left"/>
      </w:pPr>
    </w:p>
    <w:p w:rsidR="00FF757E" w:rsidRDefault="00034AED">
      <w:pPr>
        <w:spacing w:after="538"/>
        <w:ind w:left="2413"/>
        <w:jc w:val="left"/>
      </w:pPr>
      <w:r>
        <w:rPr>
          <w:b/>
        </w:rPr>
        <w:t>ODLUK</w:t>
      </w:r>
      <w:r w:rsidR="00DD64F0">
        <w:rPr>
          <w:b/>
        </w:rPr>
        <w:t>U</w:t>
      </w:r>
      <w:r>
        <w:rPr>
          <w:b/>
        </w:rPr>
        <w:t xml:space="preserve"> O RASPODJELI REZULTATA</w:t>
      </w:r>
    </w:p>
    <w:p w:rsidR="00FF757E" w:rsidRDefault="00034AED">
      <w:pPr>
        <w:spacing w:after="252" w:line="259" w:lineRule="auto"/>
        <w:ind w:right="540"/>
        <w:jc w:val="center"/>
      </w:pPr>
      <w:r>
        <w:rPr>
          <w:b/>
        </w:rPr>
        <w:t>Članak 1.</w:t>
      </w:r>
    </w:p>
    <w:p w:rsidR="00FF757E" w:rsidRDefault="00034AED" w:rsidP="00034AED">
      <w:pPr>
        <w:spacing w:after="37"/>
        <w:ind w:left="0" w:firstLine="0"/>
      </w:pPr>
      <w:r>
        <w:t>Utvrđuje se da je Osnovna škola Jakšić na dan 31.12.2019. ostvario višak prihoda nad rashodima koji se sastoji od:</w:t>
      </w:r>
    </w:p>
    <w:p w:rsidR="00FF757E" w:rsidRDefault="00034AED">
      <w:pPr>
        <w:numPr>
          <w:ilvl w:val="0"/>
          <w:numId w:val="1"/>
        </w:numPr>
        <w:ind w:hanging="360"/>
      </w:pPr>
      <w:r>
        <w:t>konto 92211 Višak prihoda poslovanja- 2.359.206,49 kn</w:t>
      </w:r>
    </w:p>
    <w:p w:rsidR="00FF757E" w:rsidRDefault="00034AED">
      <w:pPr>
        <w:numPr>
          <w:ilvl w:val="0"/>
          <w:numId w:val="1"/>
        </w:numPr>
        <w:spacing w:after="224"/>
        <w:ind w:hanging="360"/>
      </w:pPr>
      <w:r>
        <w:t>konto 92222 Manjak prihoda od financijske imovine- 1.322.519,36 kn</w:t>
      </w:r>
    </w:p>
    <w:p w:rsidR="00FF757E" w:rsidRDefault="00034AED">
      <w:pPr>
        <w:spacing w:after="0" w:line="259" w:lineRule="auto"/>
        <w:jc w:val="center"/>
      </w:pPr>
      <w:r>
        <w:rPr>
          <w:b/>
        </w:rPr>
        <w:t>Članak 2.</w:t>
      </w:r>
    </w:p>
    <w:p w:rsidR="00FF757E" w:rsidRDefault="00034AED">
      <w:pPr>
        <w:ind w:left="-5"/>
      </w:pPr>
      <w:r>
        <w:t>Višak prihoda poslovanja iz članka 2. ove Odluke koristit će se za pokriće manjka od nefinancijske imovine u iznosu od 1.322.519,36 kn.</w:t>
      </w:r>
    </w:p>
    <w:p w:rsidR="00FF757E" w:rsidRDefault="00034AED">
      <w:pPr>
        <w:ind w:left="-5"/>
      </w:pPr>
      <w:r>
        <w:t xml:space="preserve">Nakon izvršene raspodjele saldo analitičkog konta 92211- višak prihoda poslovanja iznosi 1.036.687,13 kuna. </w:t>
      </w:r>
    </w:p>
    <w:p w:rsidR="00FF757E" w:rsidRDefault="00034AED">
      <w:pPr>
        <w:spacing w:after="0" w:line="259" w:lineRule="auto"/>
        <w:jc w:val="center"/>
      </w:pPr>
      <w:r>
        <w:rPr>
          <w:b/>
        </w:rPr>
        <w:t>Članak 3.</w:t>
      </w:r>
    </w:p>
    <w:p w:rsidR="00FF757E" w:rsidRDefault="00034AED">
      <w:pPr>
        <w:ind w:left="-5"/>
      </w:pPr>
      <w:r>
        <w:t>Utvrđuje se sljedeća struktura rezultata poslovanja po izvorima:</w:t>
      </w:r>
    </w:p>
    <w:p w:rsidR="00034AED" w:rsidRDefault="00034AED">
      <w:pPr>
        <w:ind w:left="-5"/>
      </w:pPr>
    </w:p>
    <w:tbl>
      <w:tblPr>
        <w:tblStyle w:val="TableGrid"/>
        <w:tblW w:w="8432" w:type="dxa"/>
        <w:tblInd w:w="675" w:type="dxa"/>
        <w:tblCellMar>
          <w:top w:w="48" w:type="dxa"/>
          <w:right w:w="39" w:type="dxa"/>
        </w:tblCellMar>
        <w:tblLook w:val="04A0" w:firstRow="1" w:lastRow="0" w:firstColumn="1" w:lastColumn="0" w:noHBand="0" w:noVBand="1"/>
      </w:tblPr>
      <w:tblGrid>
        <w:gridCol w:w="6471"/>
        <w:gridCol w:w="1961"/>
      </w:tblGrid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:rsidR="00FF757E" w:rsidRDefault="00034AE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Opći prihodi i primici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:rsidR="00FF757E" w:rsidRDefault="00034AED" w:rsidP="00172A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</w:t>
            </w:r>
            <w:r w:rsidR="00172A05">
              <w:rPr>
                <w:b/>
              </w:rPr>
              <w:t>942.583,19</w:t>
            </w:r>
            <w:r>
              <w:rPr>
                <w:b/>
              </w:rPr>
              <w:t xml:space="preserve">   </w:t>
            </w:r>
          </w:p>
        </w:tc>
      </w:tr>
      <w:tr w:rsidR="00FF757E">
        <w:trPr>
          <w:trHeight w:val="36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>Energetska obnova Matične škole- izvor- županija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172A05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633.204,44</w:t>
            </w:r>
            <w:r w:rsidR="00034AED">
              <w:rPr>
                <w:i/>
              </w:rPr>
              <w:t xml:space="preserve">    </w:t>
            </w:r>
          </w:p>
        </w:tc>
      </w:tr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sredstva za obradu parketa u MŠ                   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163.612,50    </w:t>
            </w:r>
          </w:p>
        </w:tc>
      </w:tr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sredstva za priključak PŠ </w:t>
            </w:r>
            <w:proofErr w:type="spellStart"/>
            <w:r>
              <w:rPr>
                <w:i/>
              </w:rPr>
              <w:t>Tekić</w:t>
            </w:r>
            <w:proofErr w:type="spellEnd"/>
            <w:r>
              <w:rPr>
                <w:i/>
              </w:rPr>
              <w:t xml:space="preserve"> na vodovod. i kanal.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 37.000,00    </w:t>
            </w:r>
          </w:p>
        </w:tc>
      </w:tr>
      <w:tr w:rsidR="00FF757E">
        <w:trPr>
          <w:trHeight w:val="267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sredstva za asfaltiranje dvorišta u PŠ </w:t>
            </w:r>
            <w:proofErr w:type="spellStart"/>
            <w:r>
              <w:rPr>
                <w:i/>
              </w:rPr>
              <w:t>Treštanovci</w:t>
            </w:r>
            <w:proofErr w:type="spellEnd"/>
            <w:r>
              <w:rPr>
                <w:i/>
              </w:rPr>
              <w:t xml:space="preserve"> 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108.766,25    </w:t>
            </w:r>
          </w:p>
        </w:tc>
      </w:tr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:rsidR="00FF757E" w:rsidRDefault="00034AE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Pomoći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:rsidR="00FF757E" w:rsidRDefault="00034AED" w:rsidP="00172A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</w:t>
            </w:r>
            <w:r w:rsidR="00172A05">
              <w:rPr>
                <w:b/>
              </w:rPr>
              <w:t xml:space="preserve"> 41.753,56</w:t>
            </w:r>
            <w:r>
              <w:rPr>
                <w:b/>
              </w:rPr>
              <w:t xml:space="preserve">   </w:t>
            </w:r>
          </w:p>
        </w:tc>
      </w:tr>
      <w:tr w:rsidR="00FF757E">
        <w:trPr>
          <w:trHeight w:val="36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sredstva od MZO za </w:t>
            </w:r>
            <w:proofErr w:type="spellStart"/>
            <w:r>
              <w:rPr>
                <w:i/>
              </w:rPr>
              <w:t>nast</w:t>
            </w:r>
            <w:proofErr w:type="spellEnd"/>
            <w:r>
              <w:rPr>
                <w:i/>
              </w:rPr>
              <w:t xml:space="preserve">. sred. i opremu (NSO)    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 23.400,00    </w:t>
            </w:r>
          </w:p>
        </w:tc>
      </w:tr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>Energetska obnova Matične škole- izvor- EU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 w:rsidP="00172A05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</w:t>
            </w:r>
            <w:r w:rsidR="00172A05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172A05">
              <w:rPr>
                <w:i/>
              </w:rPr>
              <w:t>11.588,00</w:t>
            </w:r>
            <w:r>
              <w:rPr>
                <w:i/>
              </w:rPr>
              <w:t xml:space="preserve">    </w:t>
            </w:r>
          </w:p>
        </w:tc>
      </w:tr>
      <w:tr w:rsidR="00FF757E">
        <w:trPr>
          <w:trHeight w:val="267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sredstva za financiranje stručnog osposobljavanja- HZZ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   6.765,56    </w:t>
            </w:r>
          </w:p>
        </w:tc>
      </w:tr>
      <w:tr w:rsidR="00FF757E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</w:tcPr>
          <w:p w:rsidR="00FF757E" w:rsidRDefault="00034AE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Vlastiti prihodi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52.350,38   </w:t>
            </w:r>
          </w:p>
        </w:tc>
      </w:tr>
      <w:tr w:rsidR="00FF757E">
        <w:trPr>
          <w:trHeight w:val="330"/>
        </w:trPr>
        <w:tc>
          <w:tcPr>
            <w:tcW w:w="6471" w:type="dxa"/>
            <w:tcBorders>
              <w:top w:val="single" w:sz="4" w:space="0" w:color="4F81BD"/>
              <w:left w:val="nil"/>
              <w:bottom w:val="single" w:sz="6" w:space="0" w:color="4F81BD"/>
              <w:right w:val="nil"/>
            </w:tcBorders>
          </w:tcPr>
          <w:p w:rsidR="00FF757E" w:rsidRDefault="00DD64F0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>U</w:t>
            </w:r>
            <w:r w:rsidR="00034AED">
              <w:rPr>
                <w:rFonts w:ascii="Cambria" w:eastAsia="Cambria" w:hAnsi="Cambria" w:cs="Cambria"/>
                <w:b/>
              </w:rPr>
              <w:t>kupno</w:t>
            </w:r>
          </w:p>
        </w:tc>
        <w:tc>
          <w:tcPr>
            <w:tcW w:w="1961" w:type="dxa"/>
            <w:tcBorders>
              <w:top w:val="single" w:sz="4" w:space="0" w:color="4F81BD"/>
              <w:left w:val="nil"/>
              <w:bottom w:val="single" w:sz="6" w:space="0" w:color="4F81BD"/>
              <w:right w:val="nil"/>
            </w:tcBorders>
          </w:tcPr>
          <w:p w:rsidR="00FF757E" w:rsidRDefault="00034AED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  <w:b/>
              </w:rPr>
              <w:t xml:space="preserve">     1.036.687,13    </w:t>
            </w:r>
          </w:p>
        </w:tc>
      </w:tr>
    </w:tbl>
    <w:p w:rsidR="00830B6B" w:rsidRDefault="00830B6B">
      <w:pPr>
        <w:spacing w:after="0" w:line="259" w:lineRule="auto"/>
        <w:ind w:right="540"/>
        <w:jc w:val="center"/>
        <w:rPr>
          <w:b/>
        </w:rPr>
      </w:pPr>
    </w:p>
    <w:p w:rsidR="00FF757E" w:rsidRDefault="00034AED">
      <w:pPr>
        <w:spacing w:after="0" w:line="259" w:lineRule="auto"/>
        <w:ind w:right="540"/>
        <w:jc w:val="center"/>
      </w:pPr>
      <w:r>
        <w:rPr>
          <w:b/>
        </w:rPr>
        <w:t>Članak 4.</w:t>
      </w:r>
    </w:p>
    <w:p w:rsidR="00830B6B" w:rsidRDefault="00034AED" w:rsidP="00830B6B">
      <w:pPr>
        <w:spacing w:after="541"/>
        <w:ind w:left="-5"/>
      </w:pPr>
      <w:r>
        <w:t>Višak prihoda poslovanja iz izvora pomoći i opći prihodi i primici ugradit će se u Izmjene i dopune financijskog plana za 2020. godinu namjen</w:t>
      </w:r>
      <w:r w:rsidR="00DD64F0">
        <w:t>sk</w:t>
      </w:r>
      <w:r>
        <w:t xml:space="preserve">i, a vlastiti prihodi će se koristiti za pokriće rashoda poslovanja i rashoda za nabavu nefinancijske imovine. </w:t>
      </w:r>
    </w:p>
    <w:p w:rsidR="00830B6B" w:rsidRDefault="00830B6B" w:rsidP="00830B6B">
      <w:pPr>
        <w:spacing w:after="0" w:line="240" w:lineRule="auto"/>
        <w:ind w:left="-5"/>
        <w:jc w:val="right"/>
        <w:rPr>
          <w:rStyle w:val="Neupadljivareferenc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4AED" w:rsidRPr="00830B6B">
        <w:rPr>
          <w:b/>
          <w:szCs w:val="24"/>
        </w:rPr>
        <w:t>PREDSJEDNIK ŠKOLSKOG ODBORA:</w:t>
      </w:r>
    </w:p>
    <w:p w:rsidR="00034AED" w:rsidRPr="00830B6B" w:rsidRDefault="00830B6B" w:rsidP="00830B6B">
      <w:pPr>
        <w:spacing w:after="0" w:line="240" w:lineRule="auto"/>
        <w:ind w:left="3535" w:firstLine="713"/>
        <w:jc w:val="right"/>
        <w:rPr>
          <w:szCs w:val="24"/>
        </w:rPr>
      </w:pPr>
      <w:r w:rsidRPr="00830B6B">
        <w:rPr>
          <w:szCs w:val="24"/>
        </w:rPr>
        <w:t xml:space="preserve">Marijana  </w:t>
      </w:r>
      <w:r w:rsidR="00034AED" w:rsidRPr="00830B6B">
        <w:rPr>
          <w:szCs w:val="24"/>
        </w:rPr>
        <w:t xml:space="preserve">Matijević Pejić, </w:t>
      </w:r>
      <w:proofErr w:type="spellStart"/>
      <w:r w:rsidR="00034AED" w:rsidRPr="00830B6B">
        <w:rPr>
          <w:szCs w:val="24"/>
        </w:rPr>
        <w:t>mag.arh</w:t>
      </w:r>
      <w:proofErr w:type="spellEnd"/>
      <w:r w:rsidR="00034AED" w:rsidRPr="00830B6B">
        <w:rPr>
          <w:szCs w:val="24"/>
        </w:rPr>
        <w:t xml:space="preserve">. </w:t>
      </w:r>
      <w:proofErr w:type="spellStart"/>
      <w:r w:rsidR="00034AED" w:rsidRPr="00830B6B">
        <w:rPr>
          <w:szCs w:val="24"/>
        </w:rPr>
        <w:t>et</w:t>
      </w:r>
      <w:proofErr w:type="spellEnd"/>
      <w:r w:rsidR="00034AED" w:rsidRPr="00830B6B">
        <w:rPr>
          <w:szCs w:val="24"/>
        </w:rPr>
        <w:t xml:space="preserve"> </w:t>
      </w:r>
      <w:proofErr w:type="spellStart"/>
      <w:r w:rsidR="00034AED" w:rsidRPr="00830B6B">
        <w:rPr>
          <w:szCs w:val="24"/>
        </w:rPr>
        <w:t>hist</w:t>
      </w:r>
      <w:proofErr w:type="spellEnd"/>
      <w:r w:rsidR="00034AED" w:rsidRPr="00830B6B">
        <w:rPr>
          <w:szCs w:val="24"/>
        </w:rPr>
        <w:t>.</w:t>
      </w:r>
    </w:p>
    <w:p w:rsidR="00FF757E" w:rsidRPr="00830B6B" w:rsidRDefault="00034AED" w:rsidP="00034AED">
      <w:pPr>
        <w:spacing w:after="0"/>
        <w:ind w:right="2665"/>
        <w:jc w:val="left"/>
      </w:pPr>
      <w:r w:rsidRPr="00830B6B">
        <w:t>KLASA:</w:t>
      </w:r>
      <w:r w:rsidR="00245904">
        <w:t xml:space="preserve"> 003-06/20-01/</w:t>
      </w:r>
      <w:bookmarkStart w:id="0" w:name="_GoBack"/>
      <w:bookmarkEnd w:id="0"/>
      <w:r w:rsidR="009F108F">
        <w:t>1</w:t>
      </w:r>
    </w:p>
    <w:p w:rsidR="00FF757E" w:rsidRDefault="00034AED">
      <w:pPr>
        <w:ind w:left="-5"/>
      </w:pPr>
      <w:r>
        <w:t xml:space="preserve">URBROJ: </w:t>
      </w:r>
      <w:r w:rsidR="009F108F">
        <w:t>2177-27-01-20-5</w:t>
      </w:r>
    </w:p>
    <w:p w:rsidR="00FF757E" w:rsidRDefault="00034AED">
      <w:pPr>
        <w:spacing w:after="265"/>
        <w:ind w:left="-5"/>
      </w:pPr>
      <w:r>
        <w:t xml:space="preserve">Jakšić, </w:t>
      </w:r>
      <w:r w:rsidR="00DD64F0">
        <w:t>27.veljače</w:t>
      </w:r>
      <w:r>
        <w:t xml:space="preserve"> 2020. </w:t>
      </w:r>
    </w:p>
    <w:p w:rsidR="00FF757E" w:rsidRDefault="00034AED">
      <w:pPr>
        <w:spacing w:after="538"/>
        <w:ind w:left="1692"/>
        <w:jc w:val="left"/>
      </w:pPr>
      <w:r>
        <w:rPr>
          <w:b/>
        </w:rPr>
        <w:t xml:space="preserve">                                                                     </w:t>
      </w:r>
      <w:r>
        <w:t xml:space="preserve">                            </w:t>
      </w:r>
    </w:p>
    <w:sectPr w:rsidR="00FF757E" w:rsidSect="00034AED">
      <w:pgSz w:w="11900" w:h="16820"/>
      <w:pgMar w:top="851" w:right="985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66E0"/>
    <w:multiLevelType w:val="hybridMultilevel"/>
    <w:tmpl w:val="E2AA11CA"/>
    <w:lvl w:ilvl="0" w:tplc="D11A8B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C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A3A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E6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14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C7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41F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892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F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7E"/>
    <w:rsid w:val="00034AED"/>
    <w:rsid w:val="00172A05"/>
    <w:rsid w:val="00245904"/>
    <w:rsid w:val="00830B6B"/>
    <w:rsid w:val="009F108F"/>
    <w:rsid w:val="00DD64F0"/>
    <w:rsid w:val="00F3328B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04BC"/>
  <w15:docId w15:val="{AB78FE0F-7916-4FC3-93AB-7383D1A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upadljivareferenca">
    <w:name w:val="Subtle Reference"/>
    <w:basedOn w:val="Zadanifontodlomka"/>
    <w:uiPriority w:val="31"/>
    <w:qFormat/>
    <w:rsid w:val="00830B6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C15D-A746-43B3-BC8B-932613A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cp:lastModifiedBy>Racunovodstvo</cp:lastModifiedBy>
  <cp:revision>8</cp:revision>
  <dcterms:created xsi:type="dcterms:W3CDTF">2020-03-19T10:42:00Z</dcterms:created>
  <dcterms:modified xsi:type="dcterms:W3CDTF">2020-05-22T07:18:00Z</dcterms:modified>
</cp:coreProperties>
</file>